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C" w:rsidRPr="002242D5" w:rsidRDefault="00E22E2C" w:rsidP="00E22E2C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22E2C" w:rsidRDefault="00E22E2C" w:rsidP="00E22E2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E22E2C" w:rsidRDefault="00E22E2C" w:rsidP="00E22E2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E22E2C" w:rsidRDefault="00E22E2C" w:rsidP="00E22E2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2018-2022гг»</w:t>
      </w: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Pr="00A1107B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Любохна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</w:t>
      </w:r>
    </w:p>
    <w:p w:rsidR="00E22E2C" w:rsidRPr="00D952E1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lastRenderedPageBreak/>
          <w:t>I</w:t>
        </w:r>
        <w:r w:rsidRPr="002C4A8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2018-2022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E22E2C" w:rsidRPr="00D952E1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7042"/>
      </w:tblGrid>
      <w:tr w:rsidR="00E22E2C" w:rsidRPr="002242D5" w:rsidTr="00600D5F">
        <w:trPr>
          <w:trHeight w:val="960"/>
        </w:trPr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«Формирование современной городской среды на 2017 год»</w:t>
            </w:r>
          </w:p>
        </w:tc>
      </w:tr>
      <w:tr w:rsidR="00E22E2C" w:rsidRPr="002242D5" w:rsidTr="00600D5F">
        <w:trPr>
          <w:trHeight w:val="572"/>
        </w:trPr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Администрация поселка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Любохна</w:t>
            </w:r>
            <w:proofErr w:type="spellEnd"/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Цели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Повышение уровня комплексного благоустройства для повышения качества жизни граждан на территории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Дятьковского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района Брянской области.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1.Повышение уровня благоустройства дворовых территорий муниципального образования «</w:t>
            </w:r>
            <w:proofErr w:type="spellStart"/>
            <w:r w:rsidRPr="002242D5">
              <w:rPr>
                <w:rFonts w:ascii="Times New Roman" w:hAnsi="Times New Roman"/>
                <w:sz w:val="25"/>
                <w:szCs w:val="25"/>
              </w:rPr>
              <w:t>Любохонское</w:t>
            </w:r>
            <w:proofErr w:type="spellEnd"/>
            <w:r w:rsidRPr="002242D5">
              <w:rPr>
                <w:rFonts w:ascii="Times New Roman" w:hAnsi="Times New Roman"/>
                <w:sz w:val="25"/>
                <w:szCs w:val="25"/>
              </w:rPr>
              <w:t xml:space="preserve"> городское поселение».</w:t>
            </w:r>
          </w:p>
          <w:p w:rsidR="00E22E2C" w:rsidRPr="002242D5" w:rsidRDefault="00E22E2C" w:rsidP="00600D5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2. Повышение уровня благоустройства муниципальных территорий общего пользования.</w:t>
            </w:r>
          </w:p>
          <w:p w:rsidR="00E22E2C" w:rsidRPr="002242D5" w:rsidRDefault="00E22E2C" w:rsidP="00600D5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proofErr w:type="spellStart"/>
            <w:r w:rsidRPr="002242D5">
              <w:rPr>
                <w:rFonts w:ascii="Times New Roman" w:hAnsi="Times New Roman"/>
                <w:sz w:val="25"/>
                <w:szCs w:val="25"/>
              </w:rPr>
              <w:t>Любохонское</w:t>
            </w:r>
            <w:proofErr w:type="spellEnd"/>
            <w:r w:rsidRPr="002242D5">
              <w:rPr>
                <w:rFonts w:ascii="Times New Roman" w:hAnsi="Times New Roman"/>
                <w:sz w:val="25"/>
                <w:szCs w:val="25"/>
              </w:rPr>
              <w:t xml:space="preserve"> городское поселение »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Цель: повышение уровня комплексного благоустройства для повышения качества жизни граждан на территории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поселения.</w:t>
            </w:r>
          </w:p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Задача: совершенствование благоустройства территорий путем установки спортивно-детских комплексов на территории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поселения, содействия в установке скамеек и урн.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E22E2C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8-2022гг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Объемы бюджетных ассигнований Программы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 xml:space="preserve">Всего по программе </w:t>
            </w:r>
          </w:p>
          <w:p w:rsidR="00E22E2C" w:rsidRPr="002242D5" w:rsidRDefault="00E22E2C" w:rsidP="00600D5F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________________________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., в том  числе:</w:t>
            </w:r>
          </w:p>
          <w:p w:rsidR="00E22E2C" w:rsidRPr="002242D5" w:rsidRDefault="00E22E2C" w:rsidP="00600D5F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 – средства областного бюджета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22E2C" w:rsidRPr="002242D5" w:rsidRDefault="00E22E2C" w:rsidP="00600D5F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__________________-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 xml:space="preserve"> средства бюджета МО «</w:t>
            </w:r>
            <w:proofErr w:type="spellStart"/>
            <w:r w:rsidRPr="002242D5">
              <w:rPr>
                <w:rFonts w:ascii="Times New Roman" w:hAnsi="Times New Roman"/>
                <w:sz w:val="25"/>
                <w:szCs w:val="25"/>
              </w:rPr>
              <w:t>Любохон</w:t>
            </w:r>
            <w:r>
              <w:rPr>
                <w:rFonts w:ascii="Times New Roman" w:hAnsi="Times New Roman"/>
                <w:sz w:val="25"/>
                <w:szCs w:val="25"/>
              </w:rPr>
              <w:t>ское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городское поселение » </w:t>
            </w:r>
          </w:p>
          <w:p w:rsidR="00E22E2C" w:rsidRDefault="00E22E2C" w:rsidP="00600D5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_________________- внебюджетные средства</w:t>
            </w:r>
          </w:p>
          <w:p w:rsidR="00E22E2C" w:rsidRPr="002242D5" w:rsidRDefault="00E22E2C" w:rsidP="00600D5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поселения, доля благоустроенных дворовых территорий многоквартирных домов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 от общего количества дворовых территорий. Охват населения благоустроенными дворовыми территориями (доля населения, проживающего в жилом фонде с благоустроенными 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 xml:space="preserve">дворовыми территориями от общей численности населения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поселения). Количество благоустроенных 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Площадь благоустроенных 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Доля площади благоустроенных 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Доля финансового участия в выполнении минимального и дополнительного перечня работ по благоустройству дворовых территорий заинтересованных лиц.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поселения, в том числе за счет:</w:t>
            </w:r>
          </w:p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благоустройство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E22E2C" w:rsidRPr="002242D5" w:rsidRDefault="00E22E2C" w:rsidP="00600D5F">
            <w:pPr>
              <w:spacing w:line="240" w:lineRule="auto"/>
              <w:rPr>
                <w:sz w:val="25"/>
                <w:szCs w:val="25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обеспечения обустроенных зон территорий общего пользования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поселения.</w:t>
            </w:r>
          </w:p>
        </w:tc>
      </w:tr>
    </w:tbl>
    <w:p w:rsidR="00E22E2C" w:rsidRDefault="00E22E2C" w:rsidP="00E22E2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22E2C" w:rsidRPr="00FF1CDB" w:rsidRDefault="00E22E2C" w:rsidP="00E2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FF1CDB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 w:rsidRPr="00FF1CDB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E22E2C" w:rsidRPr="002242D5" w:rsidRDefault="00E22E2C" w:rsidP="00E22E2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II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Характеристика текущего состояния сферы благоустройства</w:t>
      </w:r>
    </w:p>
    <w:p w:rsidR="00E22E2C" w:rsidRPr="002242D5" w:rsidRDefault="00E22E2C" w:rsidP="00E22E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2242D5">
        <w:rPr>
          <w:rFonts w:ascii="Times New Roman" w:hAnsi="Times New Roman"/>
          <w:b/>
          <w:sz w:val="25"/>
          <w:szCs w:val="25"/>
        </w:rPr>
        <w:t>Любохонского</w:t>
      </w:r>
      <w:proofErr w:type="spellEnd"/>
      <w:r w:rsidRPr="002242D5">
        <w:rPr>
          <w:rFonts w:ascii="Times New Roman" w:hAnsi="Times New Roman"/>
          <w:b/>
          <w:sz w:val="25"/>
          <w:szCs w:val="25"/>
        </w:rPr>
        <w:t xml:space="preserve"> городского поселения </w:t>
      </w:r>
      <w:proofErr w:type="spellStart"/>
      <w:r w:rsidRPr="002242D5">
        <w:rPr>
          <w:rFonts w:ascii="Times New Roman" w:hAnsi="Times New Roman"/>
          <w:b/>
          <w:sz w:val="25"/>
          <w:szCs w:val="25"/>
        </w:rPr>
        <w:t>Дятьковского</w:t>
      </w:r>
      <w:proofErr w:type="spellEnd"/>
      <w:r w:rsidRPr="002242D5">
        <w:rPr>
          <w:rFonts w:ascii="Times New Roman" w:hAnsi="Times New Roman"/>
          <w:b/>
          <w:sz w:val="25"/>
          <w:szCs w:val="25"/>
        </w:rPr>
        <w:t xml:space="preserve">  района Брянской области</w:t>
      </w:r>
    </w:p>
    <w:p w:rsidR="00E22E2C" w:rsidRPr="002242D5" w:rsidRDefault="00E22E2C" w:rsidP="00E22E2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</w:t>
      </w:r>
      <w:proofErr w:type="gramStart"/>
      <w:r w:rsidRPr="002242D5">
        <w:rPr>
          <w:rFonts w:ascii="Times New Roman" w:hAnsi="Times New Roman"/>
          <w:sz w:val="25"/>
          <w:szCs w:val="25"/>
        </w:rPr>
        <w:t>,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 степень благоустройства населенных пунктов Брянской области оставляет желать лучшего. Лишь несколько из них можно отнести  к условно </w:t>
      </w:r>
      <w:proofErr w:type="gramStart"/>
      <w:r w:rsidRPr="002242D5">
        <w:rPr>
          <w:rFonts w:ascii="Times New Roman" w:hAnsi="Times New Roman"/>
          <w:sz w:val="25"/>
          <w:szCs w:val="25"/>
        </w:rPr>
        <w:t>благоустроенным</w:t>
      </w:r>
      <w:proofErr w:type="gramEnd"/>
      <w:r w:rsidRPr="002242D5">
        <w:rPr>
          <w:rFonts w:ascii="Times New Roman" w:hAnsi="Times New Roman"/>
          <w:sz w:val="25"/>
          <w:szCs w:val="25"/>
        </w:rPr>
        <w:t>.</w:t>
      </w:r>
    </w:p>
    <w:p w:rsidR="00E22E2C" w:rsidRPr="002242D5" w:rsidRDefault="00E22E2C" w:rsidP="00E22E2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В рабочем  поселке </w:t>
      </w:r>
      <w:proofErr w:type="spellStart"/>
      <w:r w:rsidRPr="002242D5">
        <w:rPr>
          <w:rFonts w:ascii="Times New Roman" w:hAnsi="Times New Roman"/>
          <w:sz w:val="25"/>
          <w:szCs w:val="25"/>
        </w:rPr>
        <w:t>Любохна</w:t>
      </w:r>
      <w:proofErr w:type="spellEnd"/>
      <w:r w:rsidRPr="002242D5">
        <w:rPr>
          <w:rFonts w:ascii="Times New Roman" w:hAnsi="Times New Roman"/>
          <w:sz w:val="25"/>
          <w:szCs w:val="25"/>
        </w:rPr>
        <w:t xml:space="preserve"> совместными усилиями органов местного самоуправления, управляющих компаний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E22E2C" w:rsidRPr="002242D5" w:rsidRDefault="00E22E2C" w:rsidP="00E22E2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Многоквартирных жилых домов в рабочем поселке </w:t>
      </w:r>
      <w:proofErr w:type="spellStart"/>
      <w:r w:rsidRPr="002242D5">
        <w:rPr>
          <w:rFonts w:ascii="Times New Roman" w:hAnsi="Times New Roman"/>
          <w:sz w:val="25"/>
          <w:szCs w:val="25"/>
        </w:rPr>
        <w:t>Любохна</w:t>
      </w:r>
      <w:proofErr w:type="spellEnd"/>
      <w:r w:rsidRPr="002242D5">
        <w:rPr>
          <w:rFonts w:ascii="Times New Roman" w:hAnsi="Times New Roman"/>
          <w:sz w:val="25"/>
          <w:szCs w:val="25"/>
        </w:rPr>
        <w:t xml:space="preserve">  - </w:t>
      </w:r>
      <w:r>
        <w:rPr>
          <w:rFonts w:ascii="Times New Roman" w:hAnsi="Times New Roman"/>
          <w:sz w:val="25"/>
          <w:szCs w:val="25"/>
        </w:rPr>
        <w:t>2</w:t>
      </w:r>
      <w:r w:rsidR="00447C0F"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</w:rPr>
        <w:t>, из них по состоянию на 01.01.2018</w:t>
      </w:r>
      <w:r w:rsidRPr="002242D5">
        <w:rPr>
          <w:rFonts w:ascii="Times New Roman" w:hAnsi="Times New Roman"/>
          <w:sz w:val="25"/>
          <w:szCs w:val="25"/>
        </w:rPr>
        <w:t xml:space="preserve">г -   21 многоквартирный жилой дом </w:t>
      </w:r>
      <w:r>
        <w:rPr>
          <w:rFonts w:ascii="Times New Roman" w:hAnsi="Times New Roman"/>
          <w:sz w:val="25"/>
          <w:szCs w:val="25"/>
        </w:rPr>
        <w:t>задействован в участие</w:t>
      </w:r>
      <w:r w:rsidRPr="002242D5">
        <w:rPr>
          <w:rFonts w:ascii="Times New Roman" w:hAnsi="Times New Roman"/>
          <w:sz w:val="25"/>
          <w:szCs w:val="25"/>
        </w:rPr>
        <w:t xml:space="preserve"> в региональной программе капитального ремонта общего имущества многоквартирных домов на территории Брянской области, 6 домов блокированной застройки. Из всех дворовых</w:t>
      </w:r>
      <w:r>
        <w:rPr>
          <w:rFonts w:ascii="Times New Roman" w:hAnsi="Times New Roman"/>
          <w:sz w:val="25"/>
          <w:szCs w:val="25"/>
        </w:rPr>
        <w:t xml:space="preserve"> территорий только территории  </w:t>
      </w:r>
      <w:r w:rsidR="00F604E2">
        <w:rPr>
          <w:rFonts w:ascii="Times New Roman" w:hAnsi="Times New Roman"/>
          <w:sz w:val="25"/>
          <w:szCs w:val="25"/>
        </w:rPr>
        <w:t>8</w:t>
      </w:r>
      <w:r w:rsidRPr="002242D5">
        <w:rPr>
          <w:rFonts w:ascii="Times New Roman" w:hAnsi="Times New Roman"/>
          <w:sz w:val="25"/>
          <w:szCs w:val="25"/>
        </w:rPr>
        <w:t xml:space="preserve"> многоквартирных домов можно считать благоустроенными, здесь проживает всего лишь  </w:t>
      </w:r>
      <w:r w:rsidR="00FB483A">
        <w:rPr>
          <w:rFonts w:ascii="Times New Roman" w:hAnsi="Times New Roman"/>
          <w:sz w:val="25"/>
          <w:szCs w:val="25"/>
        </w:rPr>
        <w:t>22,4</w:t>
      </w:r>
      <w:r w:rsidRPr="00E22E2C">
        <w:rPr>
          <w:rFonts w:ascii="Times New Roman" w:hAnsi="Times New Roman"/>
          <w:sz w:val="25"/>
          <w:szCs w:val="25"/>
        </w:rPr>
        <w:t xml:space="preserve"> %</w:t>
      </w:r>
      <w:r w:rsidR="00F604E2">
        <w:rPr>
          <w:rFonts w:ascii="Times New Roman" w:hAnsi="Times New Roman"/>
          <w:sz w:val="25"/>
          <w:szCs w:val="25"/>
        </w:rPr>
        <w:t xml:space="preserve">  человек </w:t>
      </w:r>
      <w:r w:rsidRPr="002242D5">
        <w:rPr>
          <w:rFonts w:ascii="Times New Roman" w:hAnsi="Times New Roman"/>
          <w:sz w:val="25"/>
          <w:szCs w:val="25"/>
        </w:rPr>
        <w:t xml:space="preserve"> от общей численности жителей поселения.</w:t>
      </w:r>
    </w:p>
    <w:p w:rsidR="00E22E2C" w:rsidRPr="002242D5" w:rsidRDefault="00E22E2C" w:rsidP="00E22E2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Муниципальные территории общего пользования  в рабочем </w:t>
      </w:r>
      <w:r w:rsidR="0035302E">
        <w:rPr>
          <w:rFonts w:ascii="Times New Roman" w:hAnsi="Times New Roman"/>
          <w:sz w:val="25"/>
          <w:szCs w:val="25"/>
        </w:rPr>
        <w:t>п</w:t>
      </w:r>
      <w:r w:rsidRPr="002242D5">
        <w:rPr>
          <w:rFonts w:ascii="Times New Roman" w:hAnsi="Times New Roman"/>
          <w:sz w:val="25"/>
          <w:szCs w:val="25"/>
        </w:rPr>
        <w:t xml:space="preserve">оселке </w:t>
      </w:r>
      <w:proofErr w:type="spellStart"/>
      <w:r w:rsidRPr="002242D5">
        <w:rPr>
          <w:rFonts w:ascii="Times New Roman" w:hAnsi="Times New Roman"/>
          <w:sz w:val="25"/>
          <w:szCs w:val="25"/>
        </w:rPr>
        <w:t>Любохна</w:t>
      </w:r>
      <w:proofErr w:type="spellEnd"/>
      <w:r w:rsidRPr="002242D5">
        <w:rPr>
          <w:rFonts w:ascii="Times New Roman" w:hAnsi="Times New Roman"/>
          <w:sz w:val="25"/>
          <w:szCs w:val="25"/>
        </w:rPr>
        <w:t xml:space="preserve"> занимают порядка </w:t>
      </w:r>
      <w:r w:rsidR="0035302E">
        <w:rPr>
          <w:rFonts w:ascii="Times New Roman" w:hAnsi="Times New Roman"/>
          <w:sz w:val="25"/>
          <w:szCs w:val="25"/>
        </w:rPr>
        <w:t>45 126</w:t>
      </w:r>
      <w:r w:rsidRPr="002242D5">
        <w:rPr>
          <w:rFonts w:ascii="Times New Roman" w:hAnsi="Times New Roman"/>
          <w:sz w:val="25"/>
          <w:szCs w:val="25"/>
        </w:rPr>
        <w:t xml:space="preserve"> м</w:t>
      </w:r>
      <w:proofErr w:type="gramStart"/>
      <w:r w:rsidRPr="002242D5">
        <w:rPr>
          <w:rFonts w:ascii="Times New Roman" w:hAnsi="Times New Roman"/>
          <w:sz w:val="25"/>
          <w:szCs w:val="25"/>
        </w:rPr>
        <w:t>2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. </w:t>
      </w:r>
      <w:r w:rsidR="0035302E">
        <w:rPr>
          <w:rFonts w:ascii="Times New Roman" w:hAnsi="Times New Roman"/>
          <w:sz w:val="25"/>
          <w:szCs w:val="25"/>
        </w:rPr>
        <w:t>Относительно б</w:t>
      </w:r>
      <w:r w:rsidRPr="002242D5">
        <w:rPr>
          <w:rFonts w:ascii="Times New Roman" w:hAnsi="Times New Roman"/>
          <w:sz w:val="25"/>
          <w:szCs w:val="25"/>
        </w:rPr>
        <w:t xml:space="preserve">лагоустроенные муниципальные территории общего пользования  расположены  на </w:t>
      </w:r>
      <w:r w:rsidR="0035302E">
        <w:rPr>
          <w:rFonts w:ascii="Times New Roman" w:hAnsi="Times New Roman"/>
          <w:sz w:val="25"/>
          <w:szCs w:val="25"/>
        </w:rPr>
        <w:t>11072</w:t>
      </w:r>
      <w:r w:rsidRPr="002242D5">
        <w:rPr>
          <w:rFonts w:ascii="Times New Roman" w:hAnsi="Times New Roman"/>
          <w:sz w:val="25"/>
          <w:szCs w:val="25"/>
        </w:rPr>
        <w:t xml:space="preserve"> м</w:t>
      </w:r>
      <w:proofErr w:type="gramStart"/>
      <w:r w:rsidRPr="002242D5">
        <w:rPr>
          <w:rFonts w:ascii="Times New Roman" w:hAnsi="Times New Roman"/>
          <w:sz w:val="25"/>
          <w:szCs w:val="25"/>
        </w:rPr>
        <w:t>2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, что составляет </w:t>
      </w:r>
      <w:r w:rsidR="0035302E">
        <w:rPr>
          <w:rFonts w:ascii="Times New Roman" w:hAnsi="Times New Roman"/>
          <w:sz w:val="25"/>
          <w:szCs w:val="25"/>
        </w:rPr>
        <w:t>24,5</w:t>
      </w:r>
      <w:r w:rsidRPr="002242D5">
        <w:rPr>
          <w:rFonts w:ascii="Times New Roman" w:hAnsi="Times New Roman"/>
          <w:sz w:val="25"/>
          <w:szCs w:val="25"/>
        </w:rPr>
        <w:t xml:space="preserve">%.  </w:t>
      </w:r>
    </w:p>
    <w:p w:rsidR="00E22E2C" w:rsidRPr="002242D5" w:rsidRDefault="00E22E2C" w:rsidP="00E22E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lastRenderedPageBreak/>
        <w:t xml:space="preserve">        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рабочего поселка </w:t>
      </w:r>
      <w:proofErr w:type="spellStart"/>
      <w:r w:rsidRPr="002242D5">
        <w:rPr>
          <w:rFonts w:ascii="Times New Roman" w:hAnsi="Times New Roman"/>
          <w:sz w:val="25"/>
          <w:szCs w:val="25"/>
        </w:rPr>
        <w:t>Любохна</w:t>
      </w:r>
      <w:proofErr w:type="spellEnd"/>
      <w:r w:rsidRPr="002242D5">
        <w:rPr>
          <w:rFonts w:ascii="Times New Roman" w:hAnsi="Times New Roman"/>
          <w:sz w:val="25"/>
          <w:szCs w:val="25"/>
        </w:rPr>
        <w:t>.</w:t>
      </w:r>
    </w:p>
    <w:p w:rsidR="00162B6A" w:rsidRDefault="00162B6A" w:rsidP="001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B6A" w:rsidRPr="005836D5" w:rsidRDefault="00162B6A" w:rsidP="001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6D5">
        <w:rPr>
          <w:rFonts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Любохонское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5836D5">
        <w:rPr>
          <w:rFonts w:ascii="Times New Roman" w:hAnsi="Times New Roman"/>
          <w:sz w:val="24"/>
          <w:szCs w:val="24"/>
        </w:rPr>
        <w:t>»» на 20</w:t>
      </w:r>
      <w:r>
        <w:rPr>
          <w:rFonts w:ascii="Times New Roman" w:hAnsi="Times New Roman"/>
          <w:sz w:val="24"/>
          <w:szCs w:val="24"/>
        </w:rPr>
        <w:t>18-2022 г</w:t>
      </w:r>
      <w:r w:rsidRPr="005836D5">
        <w:rPr>
          <w:rFonts w:ascii="Times New Roman" w:hAnsi="Times New Roman"/>
          <w:sz w:val="24"/>
          <w:szCs w:val="24"/>
        </w:rPr>
        <w:t>г.</w:t>
      </w:r>
    </w:p>
    <w:p w:rsidR="00162B6A" w:rsidRDefault="00162B6A" w:rsidP="001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77"/>
        <w:gridCol w:w="2745"/>
        <w:gridCol w:w="1373"/>
        <w:gridCol w:w="900"/>
        <w:gridCol w:w="850"/>
        <w:gridCol w:w="851"/>
        <w:gridCol w:w="850"/>
        <w:gridCol w:w="851"/>
        <w:gridCol w:w="850"/>
      </w:tblGrid>
      <w:tr w:rsidR="00162B6A" w:rsidTr="00F0798E">
        <w:trPr>
          <w:trHeight w:val="540"/>
        </w:trPr>
        <w:tc>
          <w:tcPr>
            <w:tcW w:w="477" w:type="dxa"/>
            <w:vMerge w:val="restart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6A" w:rsidRDefault="00162B6A" w:rsidP="00F0798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2" w:type="dxa"/>
            <w:gridSpan w:val="6"/>
            <w:tcBorders>
              <w:bottom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62B6A" w:rsidTr="00F0798E">
        <w:trPr>
          <w:trHeight w:val="285"/>
        </w:trPr>
        <w:tc>
          <w:tcPr>
            <w:tcW w:w="477" w:type="dxa"/>
            <w:vMerge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г.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FB483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2B6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Pr="007246C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35302E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Pr="00B45300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5" w:type="dxa"/>
          </w:tcPr>
          <w:p w:rsidR="00162B6A" w:rsidRPr="00B45300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00"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Pr="00B45300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162B6A" w:rsidRPr="00B45300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00">
              <w:rPr>
                <w:rFonts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62B6A" w:rsidRDefault="00162B6A" w:rsidP="0016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C20121">
        <w:rPr>
          <w:rFonts w:ascii="Times New Roman" w:hAnsi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/>
          <w:sz w:val="24"/>
          <w:szCs w:val="24"/>
        </w:rPr>
        <w:t xml:space="preserve"> после </w:t>
      </w:r>
      <w:r>
        <w:rPr>
          <w:rFonts w:ascii="Times New Roman" w:hAnsi="Times New Roman"/>
          <w:sz w:val="24"/>
          <w:szCs w:val="24"/>
        </w:rPr>
        <w:t>завершения мероприятий программы</w:t>
      </w:r>
    </w:p>
    <w:p w:rsidR="00162B6A" w:rsidRPr="002242D5" w:rsidRDefault="00162B6A" w:rsidP="00162B6A">
      <w:pPr>
        <w:pStyle w:val="ConsPlusCell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2242D5">
        <w:rPr>
          <w:rFonts w:ascii="Times New Roman" w:hAnsi="Times New Roman"/>
          <w:b/>
          <w:color w:val="000000"/>
          <w:sz w:val="25"/>
          <w:szCs w:val="25"/>
          <w:lang w:val="en-US"/>
        </w:rPr>
        <w:t>III</w:t>
      </w:r>
      <w:r w:rsidRPr="002242D5">
        <w:rPr>
          <w:rFonts w:ascii="Times New Roman" w:hAnsi="Times New Roman"/>
          <w:b/>
          <w:color w:val="000000"/>
          <w:sz w:val="25"/>
          <w:szCs w:val="25"/>
        </w:rPr>
        <w:t>.</w:t>
      </w:r>
      <w:r w:rsidRPr="002242D5">
        <w:rPr>
          <w:rFonts w:ascii="Times New Roman" w:hAnsi="Times New Roman"/>
          <w:b/>
          <w:color w:val="000000"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color w:val="000000"/>
          <w:sz w:val="25"/>
          <w:szCs w:val="25"/>
        </w:rPr>
        <w:t>Цель и задача, целевой индикатор программы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242D5">
        <w:rPr>
          <w:rFonts w:ascii="Times New Roman" w:hAnsi="Times New Roman"/>
          <w:color w:val="000000"/>
          <w:sz w:val="25"/>
          <w:szCs w:val="25"/>
        </w:rPr>
        <w:t xml:space="preserve">Приоритетной целью программы является создание в </w:t>
      </w:r>
      <w:proofErr w:type="spellStart"/>
      <w:r w:rsidRPr="002242D5">
        <w:rPr>
          <w:rFonts w:ascii="Times New Roman" w:hAnsi="Times New Roman"/>
          <w:color w:val="000000"/>
          <w:sz w:val="25"/>
          <w:szCs w:val="25"/>
        </w:rPr>
        <w:t>Любохонском</w:t>
      </w:r>
      <w:proofErr w:type="spellEnd"/>
      <w:r w:rsidRPr="002242D5">
        <w:rPr>
          <w:rFonts w:ascii="Times New Roman" w:hAnsi="Times New Roman"/>
          <w:color w:val="000000"/>
          <w:sz w:val="25"/>
          <w:szCs w:val="25"/>
        </w:rPr>
        <w:t xml:space="preserve"> городском поселении современной  городской среды, </w:t>
      </w:r>
      <w:r w:rsidRPr="002242D5">
        <w:rPr>
          <w:rFonts w:ascii="Times New Roman" w:eastAsia="Times New Roman" w:hAnsi="Times New Roman"/>
          <w:sz w:val="25"/>
          <w:szCs w:val="25"/>
          <w:lang w:eastAsia="ru-RU"/>
        </w:rPr>
        <w:t>повышение уровня комплексного благоустройства для повышения качества жизни граждан на территории.</w:t>
      </w:r>
    </w:p>
    <w:p w:rsidR="00E22E2C" w:rsidRPr="002242D5" w:rsidRDefault="00E22E2C" w:rsidP="00E22E2C">
      <w:pPr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Задача программы – повышение уровня благоустройства дворовых территорий муниципального образования «</w:t>
      </w:r>
      <w:proofErr w:type="spellStart"/>
      <w:r w:rsidRPr="002242D5">
        <w:rPr>
          <w:rFonts w:ascii="Times New Roman" w:hAnsi="Times New Roman"/>
          <w:sz w:val="25"/>
          <w:szCs w:val="25"/>
        </w:rPr>
        <w:t>Любохонское</w:t>
      </w:r>
      <w:proofErr w:type="spellEnd"/>
      <w:r w:rsidRPr="002242D5">
        <w:rPr>
          <w:rFonts w:ascii="Times New Roman" w:hAnsi="Times New Roman"/>
          <w:sz w:val="25"/>
          <w:szCs w:val="25"/>
        </w:rPr>
        <w:t xml:space="preserve"> городское поселение»,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proofErr w:type="spellStart"/>
      <w:r w:rsidRPr="002242D5">
        <w:rPr>
          <w:rFonts w:ascii="Times New Roman" w:hAnsi="Times New Roman"/>
          <w:sz w:val="25"/>
          <w:szCs w:val="25"/>
        </w:rPr>
        <w:t>Любохонское</w:t>
      </w:r>
      <w:proofErr w:type="spellEnd"/>
      <w:r w:rsidRPr="002242D5">
        <w:rPr>
          <w:rFonts w:ascii="Times New Roman" w:hAnsi="Times New Roman"/>
          <w:sz w:val="25"/>
          <w:szCs w:val="25"/>
        </w:rPr>
        <w:t xml:space="preserve"> городское поселение».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IV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Характеристика мероприятий программы</w:t>
      </w:r>
    </w:p>
    <w:p w:rsidR="00E22E2C" w:rsidRPr="002242D5" w:rsidRDefault="00E22E2C" w:rsidP="00E22E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242D5">
        <w:rPr>
          <w:rFonts w:ascii="Times New Roman" w:hAnsi="Times New Roman"/>
          <w:color w:val="000000"/>
          <w:sz w:val="25"/>
          <w:szCs w:val="25"/>
        </w:rPr>
        <w:t>В рамках программы планируется осуществление следующих мероприятий по благоустройству</w:t>
      </w:r>
      <w:r w:rsidR="00025632">
        <w:rPr>
          <w:rFonts w:ascii="Times New Roman" w:hAnsi="Times New Roman"/>
          <w:color w:val="000000"/>
          <w:sz w:val="25"/>
          <w:szCs w:val="25"/>
        </w:rPr>
        <w:t>:</w:t>
      </w:r>
    </w:p>
    <w:p w:rsidR="00E22E2C" w:rsidRPr="002242D5" w:rsidRDefault="00E22E2C" w:rsidP="00E22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Обустройство дворовых территорий многоквартирных домов.</w:t>
      </w:r>
    </w:p>
    <w:p w:rsidR="00E22E2C" w:rsidRPr="002242D5" w:rsidRDefault="00E22E2C" w:rsidP="00E22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color w:val="000000"/>
          <w:sz w:val="25"/>
          <w:szCs w:val="25"/>
        </w:rPr>
        <w:t xml:space="preserve">Благоустройство муниципальных территорий общего пользования </w:t>
      </w:r>
      <w:proofErr w:type="spellStart"/>
      <w:r w:rsidRPr="002242D5"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 w:rsidRPr="002242D5">
        <w:rPr>
          <w:rFonts w:ascii="Times New Roman" w:hAnsi="Times New Roman"/>
          <w:color w:val="000000"/>
          <w:sz w:val="25"/>
          <w:szCs w:val="25"/>
        </w:rPr>
        <w:t xml:space="preserve"> городского поселения. 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32" w:rsidRPr="00025632" w:rsidRDefault="00025632" w:rsidP="00025632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025632" w:rsidRPr="00FF1CDB" w:rsidRDefault="00025632" w:rsidP="00025632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F1CDB">
        <w:rPr>
          <w:rFonts w:ascii="Times New Roman" w:hAnsi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520">
        <w:rPr>
          <w:rFonts w:ascii="Times New Roman" w:hAnsi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 w:rsidRPr="00FF1CDB">
        <w:rPr>
          <w:rFonts w:ascii="Times New Roman" w:hAnsi="Times New Roman"/>
          <w:sz w:val="24"/>
          <w:szCs w:val="24"/>
        </w:rPr>
        <w:t>: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установку скамеек;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/>
          <w:sz w:val="24"/>
          <w:szCs w:val="24"/>
        </w:rPr>
        <w:t>является исчерпывающим и не может быть расширен.</w:t>
      </w:r>
    </w:p>
    <w:p w:rsidR="00025632" w:rsidRDefault="00025632" w:rsidP="000256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42CFE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>
        <w:t xml:space="preserve"> </w:t>
      </w:r>
    </w:p>
    <w:p w:rsidR="00025632" w:rsidRPr="00F42CFE" w:rsidRDefault="00025632" w:rsidP="0002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632" w:rsidRPr="00277520" w:rsidRDefault="00025632" w:rsidP="000256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520">
        <w:rPr>
          <w:rFonts w:ascii="Times New Roman" w:hAnsi="Times New Roman"/>
          <w:b/>
          <w:i/>
          <w:sz w:val="24"/>
          <w:szCs w:val="24"/>
        </w:rPr>
        <w:t xml:space="preserve">         Перечень дополнительных видов работ по благоустройству дворовых территорий многоквартирных домов: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озелен</w:t>
      </w:r>
      <w:r>
        <w:rPr>
          <w:rFonts w:ascii="Times New Roman" w:hAnsi="Times New Roman"/>
          <w:sz w:val="24"/>
          <w:szCs w:val="24"/>
        </w:rPr>
        <w:t>ен</w:t>
      </w:r>
      <w:r w:rsidRPr="00FF1CDB">
        <w:rPr>
          <w:rFonts w:ascii="Times New Roman" w:hAnsi="Times New Roman"/>
          <w:sz w:val="24"/>
          <w:szCs w:val="24"/>
        </w:rPr>
        <w:t>ие территорий</w:t>
      </w:r>
      <w:r>
        <w:rPr>
          <w:rFonts w:ascii="Times New Roman" w:hAnsi="Times New Roman"/>
          <w:sz w:val="24"/>
          <w:szCs w:val="24"/>
        </w:rPr>
        <w:t xml:space="preserve">, которое включает в себя: посадку деревьев, кустарников, газонов, снос и </w:t>
      </w:r>
      <w:proofErr w:type="spellStart"/>
      <w:r>
        <w:rPr>
          <w:rFonts w:ascii="Times New Roman" w:hAnsi="Times New Roman"/>
          <w:sz w:val="24"/>
          <w:szCs w:val="24"/>
        </w:rPr>
        <w:t>кронирование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деревьев, корчевание пней и пр.</w:t>
      </w:r>
      <w:r w:rsidRPr="00FF1CDB">
        <w:rPr>
          <w:rFonts w:ascii="Times New Roman" w:hAnsi="Times New Roman"/>
          <w:sz w:val="24"/>
          <w:szCs w:val="24"/>
        </w:rPr>
        <w:t>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окраска бордюрного камня;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/>
          <w:sz w:val="24"/>
          <w:szCs w:val="24"/>
        </w:rPr>
        <w:t>, стойки для сушки белья и др.);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вазонов, цветочниц.</w:t>
      </w:r>
    </w:p>
    <w:p w:rsidR="00025632" w:rsidRDefault="00025632" w:rsidP="000256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</w:p>
    <w:p w:rsidR="00025632" w:rsidRDefault="00025632" w:rsidP="00025632">
      <w:pPr>
        <w:spacing w:after="0" w:line="240" w:lineRule="auto"/>
        <w:jc w:val="both"/>
      </w:pP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не требуется. </w:t>
      </w:r>
    </w:p>
    <w:p w:rsidR="00025632" w:rsidRPr="002F031C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из дополнительного перечня,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 w:rsidRPr="00AB14CF">
        <w:t xml:space="preserve"> </w:t>
      </w:r>
      <w:r w:rsidRPr="002F031C">
        <w:rPr>
          <w:rFonts w:ascii="Times New Roman" w:hAnsi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2F03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031C">
        <w:rPr>
          <w:rFonts w:ascii="Times New Roman" w:hAnsi="Times New Roman"/>
          <w:sz w:val="24"/>
          <w:szCs w:val="24"/>
        </w:rPr>
        <w:t xml:space="preserve"> их расходованием, утверждается постановлением администрации </w:t>
      </w:r>
      <w:proofErr w:type="spellStart"/>
      <w:r w:rsidRPr="002F031C">
        <w:rPr>
          <w:rFonts w:ascii="Times New Roman" w:hAnsi="Times New Roman"/>
          <w:sz w:val="24"/>
          <w:szCs w:val="24"/>
        </w:rPr>
        <w:t>Дятьковского</w:t>
      </w:r>
      <w:proofErr w:type="spellEnd"/>
      <w:r w:rsidRPr="002F031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Брянской области</w:t>
      </w:r>
      <w:r w:rsidRPr="002F031C">
        <w:rPr>
          <w:rFonts w:ascii="Times New Roman" w:hAnsi="Times New Roman"/>
          <w:sz w:val="24"/>
          <w:szCs w:val="24"/>
        </w:rPr>
        <w:t>.</w:t>
      </w:r>
    </w:p>
    <w:p w:rsidR="00025632" w:rsidRPr="00B55F88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31C">
        <w:rPr>
          <w:rFonts w:ascii="Times New Roman" w:hAnsi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B55F88">
        <w:rPr>
          <w:rFonts w:ascii="Times New Roman" w:hAnsi="Times New Roman"/>
          <w:sz w:val="24"/>
          <w:szCs w:val="24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</w:t>
      </w:r>
      <w:r w:rsidRPr="00B55F88">
        <w:rPr>
          <w:rFonts w:ascii="Times New Roman" w:hAnsi="Times New Roman"/>
          <w:sz w:val="24"/>
          <w:szCs w:val="24"/>
        </w:rPr>
        <w:lastRenderedPageBreak/>
        <w:t>граждан.</w:t>
      </w:r>
      <w:proofErr w:type="gramEnd"/>
      <w:r w:rsidRPr="00B55F88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Pr="00B55F88">
        <w:rPr>
          <w:rFonts w:ascii="Times New Roman" w:hAnsi="Times New Roman"/>
          <w:sz w:val="24"/>
          <w:szCs w:val="24"/>
        </w:rPr>
        <w:t>,</w:t>
      </w:r>
      <w:proofErr w:type="gramEnd"/>
      <w:r w:rsidRPr="00B55F88">
        <w:rPr>
          <w:rFonts w:ascii="Times New Roman" w:hAnsi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F1CDB">
        <w:rPr>
          <w:rFonts w:ascii="Times New Roman" w:hAnsi="Times New Roman"/>
          <w:sz w:val="24"/>
          <w:szCs w:val="24"/>
        </w:rPr>
        <w:t xml:space="preserve">  Кроме того, в муниципальную программу  «Формирование </w:t>
      </w:r>
      <w:r>
        <w:rPr>
          <w:rFonts w:ascii="Times New Roman" w:hAnsi="Times New Roman"/>
          <w:sz w:val="24"/>
          <w:szCs w:val="24"/>
        </w:rPr>
        <w:t>современно</w:t>
      </w:r>
      <w:r w:rsidRPr="00FF1CDB">
        <w:rPr>
          <w:rFonts w:ascii="Times New Roman" w:hAnsi="Times New Roman"/>
          <w:sz w:val="24"/>
          <w:szCs w:val="24"/>
        </w:rPr>
        <w:t>й городской среды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Любохонское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FF1CDB">
        <w:rPr>
          <w:rFonts w:ascii="Times New Roman" w:hAnsi="Times New Roman"/>
          <w:sz w:val="24"/>
          <w:szCs w:val="24"/>
        </w:rPr>
        <w:t>»  на 201</w:t>
      </w:r>
      <w:r>
        <w:rPr>
          <w:rFonts w:ascii="Times New Roman" w:hAnsi="Times New Roman"/>
          <w:sz w:val="24"/>
          <w:szCs w:val="24"/>
        </w:rPr>
        <w:t>8-2022 г</w:t>
      </w:r>
      <w:r w:rsidRPr="00FF1C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 должны</w:t>
      </w:r>
      <w:r w:rsidRPr="00FF1CDB">
        <w:rPr>
          <w:rFonts w:ascii="Times New Roman" w:hAnsi="Times New Roman"/>
          <w:sz w:val="24"/>
          <w:szCs w:val="24"/>
        </w:rPr>
        <w:t xml:space="preserve"> быть включен</w:t>
      </w:r>
      <w:r>
        <w:rPr>
          <w:rFonts w:ascii="Times New Roman" w:hAnsi="Times New Roman"/>
          <w:sz w:val="24"/>
          <w:szCs w:val="24"/>
        </w:rPr>
        <w:t>ы</w:t>
      </w:r>
      <w:r w:rsidRPr="00FF1CDB">
        <w:rPr>
          <w:rFonts w:ascii="Times New Roman" w:hAnsi="Times New Roman"/>
          <w:sz w:val="24"/>
          <w:szCs w:val="24"/>
        </w:rPr>
        <w:t xml:space="preserve"> наиболее посещаем</w:t>
      </w:r>
      <w:r>
        <w:rPr>
          <w:rFonts w:ascii="Times New Roman" w:hAnsi="Times New Roman"/>
          <w:sz w:val="24"/>
          <w:szCs w:val="24"/>
        </w:rPr>
        <w:t>ые</w:t>
      </w:r>
      <w:r w:rsidRPr="00FF1CD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ые</w:t>
      </w:r>
      <w:r w:rsidRPr="00FF1CDB">
        <w:rPr>
          <w:rFonts w:ascii="Times New Roman" w:hAnsi="Times New Roman"/>
          <w:sz w:val="24"/>
          <w:szCs w:val="24"/>
        </w:rPr>
        <w:t xml:space="preserve"> территории общего пользования населенного пункта (центральная улица, площадь</w:t>
      </w:r>
      <w:r>
        <w:rPr>
          <w:rFonts w:ascii="Times New Roman" w:hAnsi="Times New Roman"/>
          <w:sz w:val="24"/>
          <w:szCs w:val="24"/>
        </w:rPr>
        <w:t>, сквер</w:t>
      </w:r>
      <w:r w:rsidRPr="00FF1CDB">
        <w:rPr>
          <w:rFonts w:ascii="Times New Roman" w:hAnsi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</w:t>
      </w:r>
      <w:r>
        <w:rPr>
          <w:rFonts w:ascii="Times New Roman" w:hAnsi="Times New Roman"/>
          <w:sz w:val="24"/>
          <w:szCs w:val="24"/>
        </w:rPr>
        <w:t>:</w:t>
      </w:r>
      <w:r w:rsidRPr="00FF1CDB">
        <w:rPr>
          <w:rFonts w:ascii="Times New Roman" w:hAnsi="Times New Roman"/>
          <w:sz w:val="24"/>
          <w:szCs w:val="24"/>
        </w:rPr>
        <w:t xml:space="preserve">   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 xml:space="preserve">  </w:t>
      </w:r>
    </w:p>
    <w:p w:rsidR="00025632" w:rsidRPr="00D6417A" w:rsidRDefault="00025632" w:rsidP="00025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17A">
        <w:rPr>
          <w:rFonts w:ascii="Times New Roman" w:hAnsi="Times New Roman"/>
          <w:sz w:val="24"/>
          <w:szCs w:val="24"/>
        </w:rPr>
        <w:t xml:space="preserve">       </w:t>
      </w:r>
      <w:r w:rsidRPr="00D6417A">
        <w:rPr>
          <w:rFonts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025632" w:rsidRPr="00D6417A" w:rsidRDefault="00025632" w:rsidP="0002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632" w:rsidRPr="0055038C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F1CDB">
        <w:rPr>
          <w:rFonts w:ascii="Times New Roman" w:hAnsi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>
        <w:rPr>
          <w:rFonts w:ascii="Times New Roman" w:hAnsi="Times New Roman"/>
          <w:sz w:val="24"/>
          <w:szCs w:val="24"/>
        </w:rPr>
        <w:t>8-2022</w:t>
      </w:r>
      <w:r w:rsidRPr="00FF1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F1C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/>
          <w:sz w:val="24"/>
          <w:szCs w:val="24"/>
        </w:rPr>
        <w:t xml:space="preserve">приложении № </w:t>
      </w:r>
      <w:r>
        <w:rPr>
          <w:rFonts w:ascii="Times New Roman" w:hAnsi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/>
          <w:sz w:val="24"/>
          <w:szCs w:val="24"/>
        </w:rPr>
        <w:t xml:space="preserve">. </w:t>
      </w:r>
    </w:p>
    <w:p w:rsidR="00025632" w:rsidRPr="0019582A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F1CDB">
        <w:rPr>
          <w:rFonts w:ascii="Times New Roman" w:hAnsi="Times New Roman"/>
          <w:sz w:val="24"/>
          <w:szCs w:val="24"/>
        </w:rPr>
        <w:t>Адресный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CDB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FF1CDB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FF1CDB">
        <w:rPr>
          <w:rFonts w:ascii="Times New Roman" w:hAnsi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/>
          <w:sz w:val="24"/>
          <w:szCs w:val="24"/>
        </w:rPr>
        <w:t xml:space="preserve">, которые подлежат благоустройству в 2018-2022 гг. представлен в </w:t>
      </w:r>
      <w:r w:rsidRPr="0055038C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2 к муниципальной программе.</w:t>
      </w:r>
      <w:r w:rsidRPr="001958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32" w:rsidRPr="00025632" w:rsidRDefault="00025632" w:rsidP="00025632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VI</w:t>
      </w:r>
      <w:r w:rsidRPr="00025632">
        <w:rPr>
          <w:rFonts w:ascii="Times New Roman" w:hAnsi="Times New Roman"/>
          <w:b/>
          <w:sz w:val="25"/>
          <w:szCs w:val="25"/>
        </w:rPr>
        <w:t>.</w:t>
      </w:r>
      <w:r w:rsidRPr="00025632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025632">
        <w:rPr>
          <w:rFonts w:ascii="Times New Roman" w:hAnsi="Times New Roman"/>
          <w:b/>
          <w:sz w:val="25"/>
          <w:szCs w:val="25"/>
        </w:rPr>
        <w:t>Ожидаемые и конечные результаты реализации программы</w:t>
      </w:r>
    </w:p>
    <w:p w:rsidR="00025632" w:rsidRPr="00025632" w:rsidRDefault="00025632" w:rsidP="00025632">
      <w:pPr>
        <w:pStyle w:val="a6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5"/>
          <w:szCs w:val="25"/>
        </w:rPr>
      </w:pPr>
    </w:p>
    <w:p w:rsidR="00025632" w:rsidRPr="002242D5" w:rsidRDefault="00025632" w:rsidP="00025632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242D5">
        <w:rPr>
          <w:rFonts w:ascii="Times New Roman" w:hAnsi="Times New Roman" w:cs="Times New Roman"/>
          <w:sz w:val="25"/>
          <w:szCs w:val="25"/>
        </w:rPr>
        <w:t xml:space="preserve">Реализация программы позволит: </w:t>
      </w:r>
    </w:p>
    <w:p w:rsidR="00025632" w:rsidRPr="002242D5" w:rsidRDefault="00025632" w:rsidP="00025632">
      <w:pPr>
        <w:pStyle w:val="ConsPlusCell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5632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2242D5">
        <w:rPr>
          <w:rFonts w:ascii="Times New Roman" w:hAnsi="Times New Roman" w:cs="Times New Roman"/>
          <w:sz w:val="25"/>
          <w:szCs w:val="25"/>
        </w:rPr>
        <w:t xml:space="preserve">лучшить содержание объектов благоустройства, и в целом, внешнего облика </w:t>
      </w:r>
      <w:proofErr w:type="spellStart"/>
      <w:r w:rsidRPr="002242D5">
        <w:rPr>
          <w:rFonts w:ascii="Times New Roman" w:hAnsi="Times New Roman" w:cs="Times New Roman"/>
          <w:color w:val="000000"/>
          <w:sz w:val="25"/>
          <w:szCs w:val="25"/>
        </w:rPr>
        <w:t>Любохонского</w:t>
      </w:r>
      <w:proofErr w:type="spellEnd"/>
      <w:r w:rsidRPr="002242D5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</w:t>
      </w:r>
      <w:r w:rsidRPr="002242D5">
        <w:rPr>
          <w:rFonts w:ascii="Times New Roman" w:hAnsi="Times New Roman" w:cs="Times New Roman"/>
          <w:sz w:val="25"/>
          <w:szCs w:val="25"/>
        </w:rPr>
        <w:t>;</w:t>
      </w:r>
    </w:p>
    <w:p w:rsidR="00025632" w:rsidRPr="00025632" w:rsidRDefault="00025632" w:rsidP="0002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У</w:t>
      </w:r>
      <w:r w:rsidRPr="00025632">
        <w:rPr>
          <w:rFonts w:ascii="Times New Roman" w:hAnsi="Times New Roman"/>
          <w:sz w:val="25"/>
          <w:szCs w:val="25"/>
        </w:rPr>
        <w:t xml:space="preserve">лучшить состояние дворовых территорий многоквартирных домов </w:t>
      </w:r>
      <w:proofErr w:type="spellStart"/>
      <w:r w:rsidRPr="00025632">
        <w:rPr>
          <w:rFonts w:ascii="Times New Roman" w:hAnsi="Times New Roman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sz w:val="25"/>
          <w:szCs w:val="25"/>
        </w:rPr>
        <w:t xml:space="preserve"> городского поселения.</w:t>
      </w:r>
    </w:p>
    <w:p w:rsidR="00025632" w:rsidRPr="002242D5" w:rsidRDefault="00025632" w:rsidP="00025632">
      <w:pPr>
        <w:pStyle w:val="ConsPlusCell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К окончанию срока реализации программы предполагается достижение следующих результатов и эффектов: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</w:t>
      </w:r>
      <w:r w:rsidRPr="00025632">
        <w:rPr>
          <w:rFonts w:ascii="Times New Roman" w:hAnsi="Times New Roman"/>
          <w:color w:val="000000"/>
          <w:sz w:val="25"/>
          <w:szCs w:val="25"/>
        </w:rPr>
        <w:t xml:space="preserve">овышение уровня благоустройства и совершенствование внешнего облика территории </w:t>
      </w:r>
      <w:proofErr w:type="spellStart"/>
      <w:r w:rsidRPr="00025632"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color w:val="000000"/>
          <w:sz w:val="25"/>
          <w:szCs w:val="25"/>
        </w:rPr>
        <w:t xml:space="preserve"> городского поселения;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</w:t>
      </w:r>
      <w:r w:rsidRPr="00025632">
        <w:rPr>
          <w:rFonts w:ascii="Times New Roman" w:hAnsi="Times New Roman"/>
          <w:color w:val="000000"/>
          <w:sz w:val="25"/>
          <w:szCs w:val="25"/>
        </w:rPr>
        <w:t xml:space="preserve">овышение уровня  благоустройства для повышения качества жизни граждан на территории  </w:t>
      </w:r>
      <w:proofErr w:type="spellStart"/>
      <w:r w:rsidRPr="00025632"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color w:val="000000"/>
          <w:sz w:val="25"/>
          <w:szCs w:val="25"/>
        </w:rPr>
        <w:t xml:space="preserve"> городского поселения;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Pr="00025632">
        <w:rPr>
          <w:rFonts w:ascii="Times New Roman" w:hAnsi="Times New Roman"/>
          <w:sz w:val="25"/>
          <w:szCs w:val="25"/>
        </w:rPr>
        <w:t xml:space="preserve">овышение эстетического качества среды территории поселения  и формирование современного облика </w:t>
      </w:r>
      <w:proofErr w:type="spellStart"/>
      <w:r w:rsidRPr="00025632">
        <w:rPr>
          <w:rFonts w:ascii="Times New Roman" w:hAnsi="Times New Roman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sz w:val="25"/>
          <w:szCs w:val="25"/>
        </w:rPr>
        <w:t xml:space="preserve"> городского поселения, сочетающего в себе элементы новизны и привлекательности;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С</w:t>
      </w:r>
      <w:r w:rsidRPr="00025632">
        <w:rPr>
          <w:rFonts w:ascii="Times New Roman" w:hAnsi="Times New Roman"/>
          <w:sz w:val="25"/>
          <w:szCs w:val="25"/>
        </w:rPr>
        <w:t>оздание благоприятных и комфортных условий проживания и отдыха населения.</w:t>
      </w:r>
    </w:p>
    <w:p w:rsidR="00025632" w:rsidRPr="00FF1CDB" w:rsidRDefault="00025632" w:rsidP="0002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VII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Осуществление контроля реализации муниципальной программы в рамках Приоритетного проекта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proofErr w:type="gramStart"/>
      <w:r w:rsidRPr="002242D5">
        <w:rPr>
          <w:rFonts w:ascii="Times New Roman" w:hAnsi="Times New Roman"/>
          <w:sz w:val="25"/>
          <w:szCs w:val="25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Организацию деятельности муниципальной общественной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 w:rsidRPr="002242D5">
        <w:rPr>
          <w:rFonts w:ascii="Times New Roman" w:hAnsi="Times New Roman"/>
          <w:sz w:val="25"/>
          <w:szCs w:val="25"/>
        </w:rPr>
        <w:t>,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VIII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  <w:r w:rsidRPr="00773DEA">
        <w:rPr>
          <w:rFonts w:ascii="Times New Roman" w:hAnsi="Times New Roman"/>
          <w:i/>
        </w:rPr>
        <w:lastRenderedPageBreak/>
        <w:t>Приложение  №1</w:t>
      </w:r>
    </w:p>
    <w:p w:rsidR="00B44C2E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4C2E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4C2E" w:rsidRPr="00773DEA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Адресный перечень дворовых территорий многоквартирных домов</w:t>
      </w:r>
    </w:p>
    <w:tbl>
      <w:tblPr>
        <w:tblStyle w:val="a5"/>
        <w:tblpPr w:leftFromText="180" w:rightFromText="180" w:vertAnchor="text" w:horzAnchor="margin" w:tblpXSpec="center" w:tblpY="115"/>
        <w:tblW w:w="10490" w:type="dxa"/>
        <w:tblLayout w:type="fixed"/>
        <w:tblLook w:val="04A0"/>
      </w:tblPr>
      <w:tblGrid>
        <w:gridCol w:w="816"/>
        <w:gridCol w:w="4429"/>
        <w:gridCol w:w="2977"/>
        <w:gridCol w:w="2268"/>
      </w:tblGrid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4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9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4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B44C2E" w:rsidRPr="004F67CB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 w:rsidRPr="004F67C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Пушкина д.22,23,24</w:t>
            </w:r>
          </w:p>
        </w:tc>
        <w:tc>
          <w:tcPr>
            <w:tcW w:w="2977" w:type="dxa"/>
          </w:tcPr>
          <w:p w:rsidR="00B44C2E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 «Пушкина»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д.3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д.9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д.11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д.7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д.16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Б.Свердловская д.1Б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Сидорова д.1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447C0F" w:rsidRPr="00574989" w:rsidTr="00B44C2E">
        <w:tc>
          <w:tcPr>
            <w:tcW w:w="816" w:type="dxa"/>
          </w:tcPr>
          <w:p w:rsidR="00447C0F" w:rsidRPr="00574989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д.4</w:t>
            </w:r>
          </w:p>
        </w:tc>
        <w:tc>
          <w:tcPr>
            <w:tcW w:w="2977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447C0F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447C0F" w:rsidRPr="00574989" w:rsidTr="00B44C2E">
        <w:tc>
          <w:tcPr>
            <w:tcW w:w="816" w:type="dxa"/>
          </w:tcPr>
          <w:p w:rsidR="00447C0F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д.6</w:t>
            </w:r>
          </w:p>
        </w:tc>
        <w:tc>
          <w:tcPr>
            <w:tcW w:w="2977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ЖЭУ»</w:t>
            </w:r>
          </w:p>
        </w:tc>
        <w:tc>
          <w:tcPr>
            <w:tcW w:w="2268" w:type="dxa"/>
          </w:tcPr>
          <w:p w:rsidR="00447C0F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</w:tbl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Pr="00773DEA" w:rsidRDefault="00B44C2E" w:rsidP="00B44C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73DEA">
        <w:rPr>
          <w:rFonts w:ascii="Times New Roman" w:hAnsi="Times New Roman"/>
          <w:i/>
          <w:sz w:val="20"/>
          <w:szCs w:val="20"/>
        </w:rPr>
        <w:t>Приложение  №2</w:t>
      </w:r>
    </w:p>
    <w:p w:rsidR="00B44C2E" w:rsidRDefault="00B44C2E" w:rsidP="00B44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F1CDB">
        <w:rPr>
          <w:rFonts w:ascii="Times New Roman" w:hAnsi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915" w:type="dxa"/>
        <w:tblInd w:w="-918" w:type="dxa"/>
        <w:tblLayout w:type="fixed"/>
        <w:tblLook w:val="04A0"/>
      </w:tblPr>
      <w:tblGrid>
        <w:gridCol w:w="993"/>
        <w:gridCol w:w="709"/>
        <w:gridCol w:w="5386"/>
        <w:gridCol w:w="3827"/>
      </w:tblGrid>
      <w:tr w:rsidR="00B44C2E" w:rsidRPr="00B64BCE" w:rsidTr="00B44C2E">
        <w:trPr>
          <w:trHeight w:val="403"/>
        </w:trPr>
        <w:tc>
          <w:tcPr>
            <w:tcW w:w="99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B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4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44C2E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4C2E" w:rsidRPr="00B64BCE" w:rsidTr="00B44C2E">
        <w:trPr>
          <w:trHeight w:val="45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2E" w:rsidRPr="00B64BCE" w:rsidTr="00B44C2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44C2E" w:rsidRPr="00B64BCE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 А.А.Головачева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 кв.м.</w:t>
            </w:r>
          </w:p>
        </w:tc>
      </w:tr>
      <w:tr w:rsidR="00B44C2E" w:rsidRPr="00B64BCE" w:rsidTr="00B44C2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44C2E" w:rsidRPr="00D72365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в честь 20-ой годовщины победы Советских войск  над Фашистской Германией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  кв.м.</w:t>
            </w:r>
          </w:p>
        </w:tc>
      </w:tr>
      <w:tr w:rsidR="00B44C2E" w:rsidRPr="00B64BCE" w:rsidTr="00B44C2E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44C2E" w:rsidRPr="0034032B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31651 кв.м.</w:t>
            </w:r>
          </w:p>
        </w:tc>
      </w:tr>
    </w:tbl>
    <w:p w:rsidR="00B44C2E" w:rsidRDefault="00B44C2E" w:rsidP="00B44C2E"/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E22E2C" w:rsidSect="0002563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43E"/>
    <w:multiLevelType w:val="hybridMultilevel"/>
    <w:tmpl w:val="B2F8782E"/>
    <w:lvl w:ilvl="0" w:tplc="92147B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F254AE"/>
    <w:multiLevelType w:val="hybridMultilevel"/>
    <w:tmpl w:val="309C5538"/>
    <w:lvl w:ilvl="0" w:tplc="5200336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25632"/>
    <w:rsid w:val="00162B6A"/>
    <w:rsid w:val="0035302E"/>
    <w:rsid w:val="00372B07"/>
    <w:rsid w:val="00447C0F"/>
    <w:rsid w:val="008A0541"/>
    <w:rsid w:val="00B44C2E"/>
    <w:rsid w:val="00E22E2C"/>
    <w:rsid w:val="00E56279"/>
    <w:rsid w:val="00F372EB"/>
    <w:rsid w:val="00F604E2"/>
    <w:rsid w:val="00F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2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2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E2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604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63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025632"/>
  </w:style>
  <w:style w:type="character" w:styleId="a7">
    <w:name w:val="Hyperlink"/>
    <w:basedOn w:val="a0"/>
    <w:uiPriority w:val="99"/>
    <w:semiHidden/>
    <w:unhideWhenUsed/>
    <w:rsid w:val="00025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AABF-15B9-4A5E-8E1E-F85356C8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2017-07-25T09:57:00Z</dcterms:created>
  <dcterms:modified xsi:type="dcterms:W3CDTF">2017-07-31T07:37:00Z</dcterms:modified>
</cp:coreProperties>
</file>