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65" w:rsidRPr="007711A8" w:rsidRDefault="00822865" w:rsidP="007711A8">
      <w:pPr>
        <w:pStyle w:val="NormalWeb"/>
        <w:spacing w:before="0" w:beforeAutospacing="0" w:after="0" w:afterAutospacing="0" w:line="300" w:lineRule="exact"/>
        <w:ind w:firstLine="709"/>
        <w:jc w:val="both"/>
        <w:rPr>
          <w:sz w:val="28"/>
          <w:szCs w:val="28"/>
        </w:rPr>
      </w:pPr>
      <w:r w:rsidRPr="00844AAA">
        <w:rPr>
          <w:sz w:val="28"/>
          <w:szCs w:val="28"/>
        </w:rPr>
        <w:t xml:space="preserve">Письмо </w:t>
      </w:r>
      <w:r w:rsidRPr="007711A8">
        <w:rPr>
          <w:sz w:val="28"/>
          <w:szCs w:val="28"/>
        </w:rPr>
        <w:t>ФНС России от 27.02.2019 N БС-4-21/3503@</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"О налогообложении легковых автомобилей: марки "Mercedes-Benz" модели (версии) "GLC 220 d 4MATIC", модели (версии) "GLA 250 4MATIC", марки "Porsche" модели (версии) "CAYENNE GTS", марки "ТОЙОТА" модели (версии) "ЛЭНД КРУЗЕР 150 ПРАДО", марки "BMW" модели (версии) "X3 xDrive 20d", модели (версии) "730LDXDRIVE" транспортным налогом с учетом повышающего коэффициента"</w:t>
      </w:r>
      <w:r>
        <w:rPr>
          <w:sz w:val="28"/>
          <w:szCs w:val="28"/>
        </w:rPr>
        <w:t>.</w:t>
      </w:r>
    </w:p>
    <w:p w:rsidR="00822865" w:rsidRPr="007711A8" w:rsidRDefault="00822865" w:rsidP="007711A8">
      <w:pPr>
        <w:pStyle w:val="NormalWeb"/>
        <w:spacing w:before="0" w:beforeAutospacing="0" w:after="0" w:afterAutospacing="0" w:line="300" w:lineRule="exact"/>
        <w:ind w:firstLine="709"/>
        <w:jc w:val="both"/>
        <w:rPr>
          <w:sz w:val="28"/>
          <w:szCs w:val="28"/>
        </w:rPr>
      </w:pP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По ряду моделей дорогостоящих автомобилей приведена информация о наличии оснований для применения повышающих коэффициентов к ставке налога</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Исчисление транспортного налога производится с учетом повышающего коэффициента в отношении автомобилей, информация о которых включена в Перечень, публикуемый Минпромторгом России.</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Повышающий коэффициент не применяется в случае отсутствия легкового автомобиля в Перечне или несоответствия количества лет, прошедших с года его выпуска, аналогичному показателю Перечня.</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С учетом паспортных и технических данных по конкретным автомобилям сообщено о применении (неприменении) повышающих коэффициентов к ставке транспортного налога в отношении указанных в запросе автомобилей.</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ab/>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Информация Минпромторга России</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"Перечень легковых автомобилей средней стоимостью от 3 миллионов рублей, подлежащий применению в очередном налоговом периоде (2019 год)"</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На 2019 год определен перечень дорогостоящих автомобилей, в отношении которых при исчислении налога применяется повышающий коэффициент</w:t>
      </w:r>
    </w:p>
    <w:p w:rsidR="00822865" w:rsidRPr="007711A8"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Повышающие коэффициенты к ставке транспортного налога применяются в отношении легковых автомобилей средней стоимостью от 3 млн. рублей.</w:t>
      </w:r>
    </w:p>
    <w:p w:rsidR="00822865" w:rsidRDefault="00822865" w:rsidP="007711A8">
      <w:pPr>
        <w:pStyle w:val="NormalWeb"/>
        <w:spacing w:before="0" w:beforeAutospacing="0" w:after="0" w:afterAutospacing="0" w:line="300" w:lineRule="exact"/>
        <w:ind w:firstLine="709"/>
        <w:jc w:val="both"/>
        <w:rPr>
          <w:sz w:val="28"/>
          <w:szCs w:val="28"/>
        </w:rPr>
      </w:pPr>
      <w:r w:rsidRPr="007711A8">
        <w:rPr>
          <w:sz w:val="28"/>
          <w:szCs w:val="28"/>
        </w:rPr>
        <w:t>Перечень таких автомобилей ежегодно размещается на официальном сайте Минпромторга России не позднее 1 марта очередного налогового периода.</w:t>
      </w:r>
    </w:p>
    <w:p w:rsidR="00822865" w:rsidRDefault="00822865" w:rsidP="007711A8">
      <w:pPr>
        <w:pStyle w:val="NormalWeb"/>
        <w:spacing w:before="0" w:beforeAutospacing="0" w:after="0" w:afterAutospacing="0" w:line="300" w:lineRule="exact"/>
        <w:ind w:firstLine="709"/>
        <w:jc w:val="both"/>
        <w:rPr>
          <w:sz w:val="28"/>
          <w:szCs w:val="28"/>
        </w:rPr>
      </w:pPr>
    </w:p>
    <w:p w:rsidR="00822865" w:rsidRPr="007711A8" w:rsidRDefault="00822865" w:rsidP="007711A8">
      <w:pPr>
        <w:pStyle w:val="NormalWeb"/>
        <w:spacing w:before="0" w:beforeAutospacing="0" w:after="0" w:afterAutospacing="0" w:line="300" w:lineRule="exact"/>
        <w:ind w:firstLine="709"/>
        <w:jc w:val="both"/>
        <w:rPr>
          <w:sz w:val="28"/>
          <w:szCs w:val="28"/>
        </w:rPr>
      </w:pPr>
    </w:p>
    <w:p w:rsidR="00822865" w:rsidRDefault="00822865" w:rsidP="00E6191D">
      <w:pPr>
        <w:spacing w:line="220" w:lineRule="exact"/>
        <w:jc w:val="both"/>
        <w:rPr>
          <w:szCs w:val="28"/>
        </w:rPr>
      </w:pPr>
      <w:r>
        <w:rPr>
          <w:szCs w:val="28"/>
        </w:rPr>
        <w:t>Ст.помощник прокурора г.Дятьково</w:t>
      </w:r>
    </w:p>
    <w:p w:rsidR="00822865" w:rsidRDefault="00822865" w:rsidP="00E6191D">
      <w:pPr>
        <w:spacing w:line="220" w:lineRule="exact"/>
        <w:jc w:val="both"/>
        <w:rPr>
          <w:szCs w:val="28"/>
        </w:rPr>
      </w:pPr>
    </w:p>
    <w:p w:rsidR="00822865" w:rsidRDefault="00822865" w:rsidP="00E6191D">
      <w:r>
        <w:rPr>
          <w:szCs w:val="28"/>
        </w:rPr>
        <w:t>младший советник юстиции</w:t>
      </w:r>
      <w:r>
        <w:rPr>
          <w:szCs w:val="28"/>
        </w:rPr>
        <w:tab/>
      </w:r>
      <w:r>
        <w:rPr>
          <w:szCs w:val="28"/>
        </w:rPr>
        <w:tab/>
      </w:r>
      <w:r>
        <w:rPr>
          <w:szCs w:val="28"/>
        </w:rPr>
        <w:tab/>
        <w:t xml:space="preserve"> </w:t>
      </w:r>
      <w:r>
        <w:rPr>
          <w:szCs w:val="28"/>
        </w:rPr>
        <w:tab/>
      </w:r>
      <w:r>
        <w:rPr>
          <w:szCs w:val="28"/>
        </w:rPr>
        <w:tab/>
      </w:r>
      <w:r>
        <w:rPr>
          <w:szCs w:val="28"/>
        </w:rPr>
        <w:tab/>
        <w:t xml:space="preserve">         М.В. Рубанов</w:t>
      </w:r>
    </w:p>
    <w:sectPr w:rsidR="00822865" w:rsidSect="008E5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A78"/>
    <w:rsid w:val="000B74DF"/>
    <w:rsid w:val="0013576D"/>
    <w:rsid w:val="00222793"/>
    <w:rsid w:val="00480546"/>
    <w:rsid w:val="00563B63"/>
    <w:rsid w:val="00634179"/>
    <w:rsid w:val="0065560E"/>
    <w:rsid w:val="007711A8"/>
    <w:rsid w:val="007D764A"/>
    <w:rsid w:val="00807C53"/>
    <w:rsid w:val="00822865"/>
    <w:rsid w:val="00844AAA"/>
    <w:rsid w:val="008B38F3"/>
    <w:rsid w:val="008E5F97"/>
    <w:rsid w:val="009749F7"/>
    <w:rsid w:val="0099363C"/>
    <w:rsid w:val="009C6479"/>
    <w:rsid w:val="00A369EC"/>
    <w:rsid w:val="00B44A78"/>
    <w:rsid w:val="00C25B28"/>
    <w:rsid w:val="00C74764"/>
    <w:rsid w:val="00D2180A"/>
    <w:rsid w:val="00E32097"/>
    <w:rsid w:val="00E6191D"/>
    <w:rsid w:val="00F80D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97"/>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44A78"/>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6276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268</Words>
  <Characters>1528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Приказом Министерства труда и социальной защиты населения Российской Федерации от 18 января 2018 года №29н внесены изменения в Правила подачи заявления о распоряжении средствами (частью средств) материнского (семейного) капитала, утвержденные приказом Ми</dc:title>
  <dc:subject/>
  <dc:creator>Канцелярия</dc:creator>
  <cp:keywords/>
  <dc:description/>
  <cp:lastModifiedBy>WiZaRd</cp:lastModifiedBy>
  <cp:revision>3</cp:revision>
  <dcterms:created xsi:type="dcterms:W3CDTF">2019-03-18T13:00:00Z</dcterms:created>
  <dcterms:modified xsi:type="dcterms:W3CDTF">2019-03-18T13:00:00Z</dcterms:modified>
</cp:coreProperties>
</file>