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E47DA">
        <w:rPr>
          <w:rFonts w:ascii="Times New Roman" w:hAnsi="Times New Roman" w:cs="Times New Roman"/>
          <w:b/>
          <w:sz w:val="24"/>
        </w:rPr>
        <w:t>Уголовная ответственность за заведомо ложный донос предусмотрена ст.306 УК РФ.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Общественная опасность преступления состоит в том, что оно нарушает нормальную работу правоохранительных органов, занимающихся проверкой заведомо ложного сообщения о совершении преступления. Неверная информация отвлекает силы и внимание органов следствия и дознания от борьбы с действительными преступлениями.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Объективная сторона данного преступления выражается в активных действиях, направленных на доведение до сведения правоохранительных органов заведомо ложной информации о не имевшем место в действительности преступном поведении человека. Заведомо ложный донос будет иметь место как в том случае, когда сообщается о полностью вымышленном преступном деянии, так и когда в реально существующем преступлении обвиняется заведомо не причастное к его совершению лицо.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Заведомо ложный донос может быть устным, письменным, выполненным по телефону, через других лиц и пр. Способ совершения преступления не имеет значения для решения вопроса о наличии состава преступления. Не имеет значения и то, назвал доносчик свое подлинное имя, намеренно изменил его или сделал анонимный донос.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Ложный донос считается оконченным с момента поступления в вышеуказанные органы ложного сообщения о совершении преступления.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 xml:space="preserve">Данное преступление может быть совершено только с прямым умыслом. То есть виновный осознает, что сообщает правоохранительным либо иным органам, обязанным реагировать на это сообщение, </w:t>
      </w:r>
      <w:proofErr w:type="gramStart"/>
      <w:r w:rsidRPr="00FE47DA">
        <w:rPr>
          <w:rFonts w:ascii="Times New Roman" w:hAnsi="Times New Roman" w:cs="Times New Roman"/>
          <w:sz w:val="24"/>
        </w:rPr>
        <w:t>безусловно</w:t>
      </w:r>
      <w:proofErr w:type="gramEnd"/>
      <w:r w:rsidRPr="00FE47DA">
        <w:rPr>
          <w:rFonts w:ascii="Times New Roman" w:hAnsi="Times New Roman" w:cs="Times New Roman"/>
          <w:sz w:val="24"/>
        </w:rPr>
        <w:t xml:space="preserve"> ложные, не соответствующие действительности сведения о совершении преступления, и желает совершить эти действия, т.е. ввести в заблуждение соответствующие государственные органы.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Мотивы ложного доноса в большинстве случаев носят личный характер (месть, неприязненные отношения, стремление скрыть истинного преступника и др.). Обычно это преступление совершается со специальной целью – возбуждение уголовного дела и привлечение конкретного невиновного лица к уголовной ответственности.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Субъектом ложного доноса может быть любое вменяемое лицо, достигшее возраста 16 лет.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Более строгая ответственность уголовным законом предусмотрена за донос, соединенный с обвинением лица в совершении тяжкого или особо тяжкого преступления (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>.2 ст.306</w:t>
      </w:r>
      <w:r w:rsidRPr="00FE47DA">
        <w:rPr>
          <w:rFonts w:ascii="Times New Roman" w:hAnsi="Times New Roman" w:cs="Times New Roman"/>
          <w:sz w:val="24"/>
        </w:rPr>
        <w:t> УК РФ). Однако в таком случае необходимо, чтобы в доносе содержалось указание на конкретное лицо, якобы совершившее это преступление.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В </w:t>
      </w:r>
      <w:proofErr w:type="gramStart"/>
      <w:r w:rsidRPr="00FE47DA">
        <w:rPr>
          <w:rFonts w:ascii="Times New Roman" w:hAnsi="Times New Roman" w:cs="Times New Roman"/>
          <w:sz w:val="24"/>
        </w:rPr>
        <w:t>ч</w:t>
      </w:r>
      <w:proofErr w:type="gramEnd"/>
      <w:r w:rsidRPr="00FE47DA">
        <w:rPr>
          <w:rFonts w:ascii="Times New Roman" w:hAnsi="Times New Roman" w:cs="Times New Roman"/>
          <w:sz w:val="24"/>
        </w:rPr>
        <w:t>.3 ст.306 УК РФ содержится особо квалифицирующий признак – донос, соединенный с искусственным созданием доказательств обвинения, фальсификацией, имитацией доказательственных фактов, которых на самом деле нет (например, подготовка подставных свидетелей, изготовление фальшивых вещественных или письменных доказательств).</w:t>
      </w:r>
    </w:p>
    <w:p w:rsidR="00FE47DA" w:rsidRPr="00FE47DA" w:rsidRDefault="00FE47DA" w:rsidP="00FE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>Следует отметить, что ответственность за ложное сообщение об акте терроризма предусмотрена другой, специальной нормой – статьей 207</w:t>
      </w:r>
      <w:r>
        <w:rPr>
          <w:rFonts w:ascii="Times New Roman" w:hAnsi="Times New Roman" w:cs="Times New Roman"/>
          <w:sz w:val="24"/>
        </w:rPr>
        <w:t xml:space="preserve"> </w:t>
      </w:r>
      <w:r w:rsidRPr="00FE47DA">
        <w:rPr>
          <w:rFonts w:ascii="Times New Roman" w:hAnsi="Times New Roman" w:cs="Times New Roman"/>
          <w:sz w:val="24"/>
        </w:rPr>
        <w:t>УК РФ (Заведомо ложное сообщение об акте терроризма). Объективная сторона состава преступления, предусмотренного ст. 207 УК РФ, такова, что ответственность возможна за заведомо ложное сообщение только о готовящемся акте терроризма. В случае заведомо ложного доноса о совершенном акте терроризма действия виновного следует квалифицировать по ст.306 УК РФ.</w:t>
      </w:r>
    </w:p>
    <w:p w:rsidR="00000000" w:rsidRDefault="00FE47DA">
      <w:pPr>
        <w:rPr>
          <w:rFonts w:ascii="Times New Roman" w:hAnsi="Times New Roman" w:cs="Times New Roman"/>
          <w:sz w:val="28"/>
        </w:rPr>
      </w:pPr>
    </w:p>
    <w:p w:rsidR="00FE47DA" w:rsidRPr="00FE47DA" w:rsidRDefault="00FE47DA">
      <w:pPr>
        <w:rPr>
          <w:rFonts w:ascii="Times New Roman" w:hAnsi="Times New Roman" w:cs="Times New Roman"/>
          <w:sz w:val="24"/>
        </w:rPr>
      </w:pPr>
      <w:r w:rsidRPr="00FE47DA">
        <w:rPr>
          <w:rFonts w:ascii="Times New Roman" w:hAnsi="Times New Roman" w:cs="Times New Roman"/>
          <w:sz w:val="24"/>
        </w:rPr>
        <w:t xml:space="preserve">Помощник прокурора Дятьково </w:t>
      </w:r>
      <w:r w:rsidRPr="00FE47DA">
        <w:rPr>
          <w:rFonts w:ascii="Times New Roman" w:hAnsi="Times New Roman" w:cs="Times New Roman"/>
          <w:sz w:val="24"/>
        </w:rPr>
        <w:tab/>
      </w:r>
      <w:r w:rsidRPr="00FE47DA">
        <w:rPr>
          <w:rFonts w:ascii="Times New Roman" w:hAnsi="Times New Roman" w:cs="Times New Roman"/>
          <w:sz w:val="24"/>
        </w:rPr>
        <w:tab/>
      </w:r>
      <w:r w:rsidRPr="00FE47DA">
        <w:rPr>
          <w:rFonts w:ascii="Times New Roman" w:hAnsi="Times New Roman" w:cs="Times New Roman"/>
          <w:sz w:val="24"/>
        </w:rPr>
        <w:tab/>
      </w:r>
      <w:r w:rsidRPr="00FE47DA">
        <w:rPr>
          <w:rFonts w:ascii="Times New Roman" w:hAnsi="Times New Roman" w:cs="Times New Roman"/>
          <w:sz w:val="24"/>
        </w:rPr>
        <w:tab/>
      </w:r>
      <w:r w:rsidRPr="00FE47DA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FE47DA">
        <w:rPr>
          <w:rFonts w:ascii="Times New Roman" w:hAnsi="Times New Roman" w:cs="Times New Roman"/>
          <w:sz w:val="24"/>
        </w:rPr>
        <w:t>Кузнецов Д.А.</w:t>
      </w:r>
    </w:p>
    <w:sectPr w:rsidR="00FE47DA" w:rsidRPr="00FE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7DA"/>
    <w:rsid w:val="00F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47DA"/>
    <w:rPr>
      <w:i/>
      <w:iCs/>
    </w:rPr>
  </w:style>
  <w:style w:type="character" w:styleId="a5">
    <w:name w:val="Hyperlink"/>
    <w:basedOn w:val="a0"/>
    <w:uiPriority w:val="99"/>
    <w:unhideWhenUsed/>
    <w:rsid w:val="00FE4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2022-07-08T08:25:00Z</dcterms:created>
  <dcterms:modified xsi:type="dcterms:W3CDTF">2022-07-08T08:27:00Z</dcterms:modified>
</cp:coreProperties>
</file>