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D000A4">
        <w:rPr>
          <w:rFonts w:ascii="Arial" w:eastAsia="Times New Roman" w:hAnsi="Arial" w:cs="Arial"/>
          <w:b/>
          <w:bCs/>
          <w:color w:val="333333"/>
          <w:sz w:val="30"/>
          <w:szCs w:val="30"/>
        </w:rPr>
        <w:t>Порядок рассмотрения жалоб граждан, содержащихся под стражей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D000A4">
        <w:rPr>
          <w:rFonts w:ascii="Roboto" w:eastAsia="Times New Roman" w:hAnsi="Roboto" w:cs="Times New Roman"/>
          <w:color w:val="000000"/>
          <w:sz w:val="20"/>
        </w:rPr>
        <w:t> </w:t>
      </w:r>
      <w:r w:rsidRPr="00D000A4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0A4">
        <w:rPr>
          <w:rFonts w:ascii="Times New Roman" w:eastAsia="Times New Roman" w:hAnsi="Times New Roman" w:cs="Times New Roman"/>
          <w:sz w:val="20"/>
        </w:rPr>
        <w:t> 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Постановления Конституционного Суда Российской Федерации от 20.01.2023 № 3-П «По делу о проверке конституционности части первой статьи 125 Уголовно-процессуального кодекса Российской Федерации в связи с жалобой гражданина В.А. Саркисяна» суды обязаны рассматривать жалобы содержащихся под стражей обвиняемого, подозреваемого на их перевод следователем из одного следственного изолятора в другой.</w:t>
      </w:r>
      <w:proofErr w:type="gramEnd"/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Конституционный Суд Российской Федерации отметил, что возможность обвиняемых и подозреваемых реализовать свои права беспрепятственно и в полном объеме в значительной степени может быть прямо связана с территориальным расположением учреждения содержания под стражей.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связи с этим изменение места содержания под стражей затрагивает их конституционные права, подлежащие судебной защите, а также предполагает их защиту в безотлагательном порядке.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Изменение места содержания под стражей, производимое без возможности последующего судебного контроля, лишало бы гражданина правовых гарантий защиты. Это не согласуется с положением личности в ее взаимоотношениях с государством не как объекта государственной деятельности, а как равноправного субъекта.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Поскольку решения должностных лиц органа предварительного расследования о перемещении обвиняемого, подозреваемого из одного места содержания под стражей в другое не подлежат судебному контролю ни при рассмотрении уголовного дела по существу, ни в порядке главы 22 КАС РФ, исключение наличия или отсутствия оснований для такого перемещения из предмета судебного контроля, осуществляемого в рамках статьи 125 УПК РФ, ограничивало бы право на</w:t>
      </w:r>
      <w:proofErr w:type="gramEnd"/>
      <w:r w:rsidRPr="00D00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судебную защиту, а также умаляло бы достоинство личности.</w:t>
      </w:r>
    </w:p>
    <w:p w:rsidR="00D000A4" w:rsidRPr="00D000A4" w:rsidRDefault="00D000A4" w:rsidP="00D000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000A4">
        <w:rPr>
          <w:rFonts w:ascii="Times New Roman" w:eastAsia="Times New Roman" w:hAnsi="Times New Roman" w:cs="Times New Roman"/>
          <w:sz w:val="28"/>
          <w:szCs w:val="28"/>
        </w:rPr>
        <w:t>Часть первая статьи 125 УПК РФ не противоречит Конституции РФ, поскольку предполагает рассмотрение судом по существу жалобы на законность и обоснованность решения следователя, лица, производящего дознание, о переводе подозреваемого, обвиняемого из одного следственного изолятора в другой с учетом обусловленности и оправданности такого перевода конкретными обстоятельствами, по результатам оценки материалов, послуживших основанием для оспариваемого решения, соразмерности ограничения прав лица, находящегося под</w:t>
      </w:r>
      <w:proofErr w:type="gramEnd"/>
      <w:r w:rsidRPr="00D000A4">
        <w:rPr>
          <w:rFonts w:ascii="Times New Roman" w:eastAsia="Times New Roman" w:hAnsi="Times New Roman" w:cs="Times New Roman"/>
          <w:sz w:val="28"/>
          <w:szCs w:val="28"/>
        </w:rPr>
        <w:t xml:space="preserve"> стражей, преследуемой законной цели, основаниям и условиям изменения места его содержания под стражей (перевода).</w:t>
      </w:r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50"/>
    <w:multiLevelType w:val="multilevel"/>
    <w:tmpl w:val="137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96F45"/>
    <w:rsid w:val="000D1FE3"/>
    <w:rsid w:val="00387B28"/>
    <w:rsid w:val="006004D7"/>
    <w:rsid w:val="006C23AF"/>
    <w:rsid w:val="006C538B"/>
    <w:rsid w:val="00763487"/>
    <w:rsid w:val="008B0902"/>
    <w:rsid w:val="008E0CE4"/>
    <w:rsid w:val="00A65DDE"/>
    <w:rsid w:val="00B66EF0"/>
    <w:rsid w:val="00D000A4"/>
    <w:rsid w:val="00D32A05"/>
    <w:rsid w:val="00D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6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048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94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60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2023-01-26T11:05:00Z</dcterms:created>
  <dcterms:modified xsi:type="dcterms:W3CDTF">2023-04-28T06:55:00Z</dcterms:modified>
</cp:coreProperties>
</file>